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F5169" w14:textId="5356F44E" w:rsidR="003069DB" w:rsidRPr="003069DB" w:rsidRDefault="003069DB" w:rsidP="003069DB">
      <w:pPr>
        <w:rPr>
          <w:rFonts w:ascii="Times New Roman" w:hAnsi="Times New Roman" w:cs="Times New Roman"/>
          <w:i/>
          <w:iCs/>
        </w:rPr>
      </w:pPr>
      <w:r w:rsidRPr="003069DB">
        <w:rPr>
          <w:rFonts w:ascii="Times New Roman" w:hAnsi="Times New Roman" w:cs="Times New Roman"/>
          <w:i/>
          <w:iCs/>
        </w:rPr>
        <w:t>Disclaimer: This template is provided for informational purposes only and does not constitute legal advice. Whistleblower protections vary by state, and some states impose additional requirements beyond federal law. Consult a nonprofit attorney to ensure this policy meets the requirements of your state and organization.</w:t>
      </w:r>
    </w:p>
    <w:p w14:paraId="1E857C02" w14:textId="17D62111" w:rsidR="007716E0" w:rsidRPr="003069DB" w:rsidRDefault="007716E0" w:rsidP="007716E0">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3069DB">
        <w:rPr>
          <w:rFonts w:ascii="Times New Roman" w:eastAsia="Times New Roman" w:hAnsi="Times New Roman" w:cs="Times New Roman"/>
          <w:b/>
          <w:bCs/>
          <w:kern w:val="36"/>
          <w:sz w:val="48"/>
          <w:szCs w:val="48"/>
          <w14:ligatures w14:val="none"/>
        </w:rPr>
        <w:t>Conflict of Interest Policy</w:t>
      </w:r>
    </w:p>
    <w:p w14:paraId="1F42ED76" w14:textId="55CE50C6" w:rsidR="003069DB" w:rsidRPr="003069DB" w:rsidRDefault="003069DB" w:rsidP="003069DB">
      <w:pPr>
        <w:spacing w:before="100" w:beforeAutospacing="1" w:after="100" w:afterAutospacing="1" w:line="240" w:lineRule="auto"/>
        <w:jc w:val="center"/>
        <w:rPr>
          <w:rFonts w:ascii="Times New Roman" w:eastAsia="Times New Roman" w:hAnsi="Times New Roman" w:cs="Times New Roman"/>
          <w:kern w:val="0"/>
          <w14:ligatures w14:val="none"/>
        </w:rPr>
      </w:pPr>
      <w:r w:rsidRPr="003069DB">
        <w:rPr>
          <w:rFonts w:ascii="Times New Roman" w:eastAsia="Times New Roman" w:hAnsi="Times New Roman" w:cs="Times New Roman"/>
          <w:b/>
          <w:bCs/>
          <w:kern w:val="0"/>
          <w14:ligatures w14:val="none"/>
        </w:rPr>
        <w:t>[ORGANIZATION NAME]</w:t>
      </w:r>
      <w:r w:rsidRPr="003069DB">
        <w:rPr>
          <w:rFonts w:ascii="Times New Roman" w:eastAsia="Times New Roman" w:hAnsi="Times New Roman" w:cs="Times New Roman"/>
          <w:kern w:val="0"/>
          <w14:ligatures w14:val="none"/>
        </w:rPr>
        <w:t xml:space="preserve"> Adopted: _______________ | Last Reviewed: _______________</w:t>
      </w:r>
    </w:p>
    <w:p w14:paraId="659C835C"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6B3F13D5">
          <v:rect id="_x0000_i1035" alt="" style="width:468pt;height:.05pt;mso-width-percent:0;mso-height-percent:0;mso-width-percent:0;mso-height-percent:0" o:hralign="center" o:hrstd="t" o:hr="t" fillcolor="#a0a0a0" stroked="f"/>
        </w:pict>
      </w:r>
    </w:p>
    <w:p w14:paraId="406842CE"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1. Purpose</w:t>
      </w:r>
    </w:p>
    <w:p w14:paraId="7AD79F44"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[Organization Name] (the "Organization") is committed to ethical conduct, legal compliance, and responsible stewardship of its resources. This policy encourages directors, officers, employees, and volunteers to report concerns about illegal activity, financial misconduct, or violations of organizational policy — and protects those who do so from retaliation.</w:t>
      </w:r>
    </w:p>
    <w:p w14:paraId="3D05EA04"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The Organization believes that honest, open reporting is essential to good governance. People who raise concerns in good faith are performing a valuable service to the Organization and the communities it serves.</w:t>
      </w:r>
    </w:p>
    <w:p w14:paraId="26EF6E1A"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2892C0BC">
          <v:rect id="_x0000_i1034" alt="" style="width:468pt;height:.05pt;mso-width-percent:0;mso-height-percent:0;mso-width-percent:0;mso-height-percent:0" o:hralign="center" o:hrstd="t" o:hr="t" fillcolor="#a0a0a0" stroked="f"/>
        </w:pict>
      </w:r>
    </w:p>
    <w:p w14:paraId="4A5F9C55"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2. Who This Policy Covers</w:t>
      </w:r>
    </w:p>
    <w:p w14:paraId="50FD4E42"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This policy applies to all:</w:t>
      </w:r>
    </w:p>
    <w:p w14:paraId="20B00A9A" w14:textId="77777777" w:rsidR="003069DB" w:rsidRPr="003069DB" w:rsidRDefault="003069DB" w:rsidP="003069D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Members of the Board of Directors</w:t>
      </w:r>
    </w:p>
    <w:p w14:paraId="1C937A82" w14:textId="77777777" w:rsidR="003069DB" w:rsidRPr="003069DB" w:rsidRDefault="003069DB" w:rsidP="003069D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Officers and executive leadership</w:t>
      </w:r>
    </w:p>
    <w:p w14:paraId="60CF886B" w14:textId="77777777" w:rsidR="003069DB" w:rsidRPr="003069DB" w:rsidRDefault="003069DB" w:rsidP="003069D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Employees (full-time, part-time, and temporary)</w:t>
      </w:r>
    </w:p>
    <w:p w14:paraId="14B15DBF" w14:textId="77777777" w:rsidR="003069DB" w:rsidRPr="003069DB" w:rsidRDefault="003069DB" w:rsidP="003069D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Volunteers</w:t>
      </w:r>
    </w:p>
    <w:p w14:paraId="736618F0"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Together, these individuals are referred to as "covered persons."</w:t>
      </w:r>
    </w:p>
    <w:p w14:paraId="2ED7A401"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1E1AB2BF">
          <v:rect id="_x0000_i1033" alt="" style="width:468pt;height:.05pt;mso-width-percent:0;mso-height-percent:0;mso-width-percent:0;mso-height-percent:0" o:hralign="center" o:hrstd="t" o:hr="t" fillcolor="#a0a0a0" stroked="f"/>
        </w:pict>
      </w:r>
    </w:p>
    <w:p w14:paraId="21BB74BC"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3. What Should Be Reported</w:t>
      </w:r>
    </w:p>
    <w:p w14:paraId="2F7A16E1"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Covered persons are encouraged to report any good-faith concern about:</w:t>
      </w:r>
    </w:p>
    <w:p w14:paraId="79CC939F" w14:textId="77777777" w:rsidR="003069DB" w:rsidRPr="003069DB" w:rsidRDefault="003069DB" w:rsidP="003069D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Fraud, theft, or misappropriation of organizational funds or assets</w:t>
      </w:r>
    </w:p>
    <w:p w14:paraId="38482B74" w14:textId="77777777" w:rsidR="003069DB" w:rsidRPr="003069DB" w:rsidRDefault="003069DB" w:rsidP="003069D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Falsification of financial records, reports, or tax filings</w:t>
      </w:r>
    </w:p>
    <w:p w14:paraId="43B7E22C" w14:textId="77777777" w:rsidR="003069DB" w:rsidRPr="003069DB" w:rsidRDefault="003069DB" w:rsidP="003069D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lastRenderedPageBreak/>
        <w:t>Violations of federal, state, or local law</w:t>
      </w:r>
    </w:p>
    <w:p w14:paraId="006C9472" w14:textId="77777777" w:rsidR="003069DB" w:rsidRPr="003069DB" w:rsidRDefault="003069DB" w:rsidP="003069D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Violations of the Organization's adopted policies (including this policy)</w:t>
      </w:r>
    </w:p>
    <w:p w14:paraId="60878073" w14:textId="77777777" w:rsidR="003069DB" w:rsidRPr="003069DB" w:rsidRDefault="003069DB" w:rsidP="003069D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Actions that could jeopardize the Organization's tax-exempt status</w:t>
      </w:r>
    </w:p>
    <w:p w14:paraId="4957ADF8" w14:textId="77777777" w:rsidR="003069DB" w:rsidRPr="003069DB" w:rsidRDefault="003069DB" w:rsidP="003069D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Any other conduct that is illegal, unethical, or contrary to the Organization's mission</w:t>
      </w:r>
    </w:p>
    <w:p w14:paraId="43B9E181"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This policy is not intended for personal employment grievances (e.g., disputes about scheduling, compensation, or interpersonal conflict). Those should be addressed through the Organization's standard personnel procedures.</w:t>
      </w:r>
    </w:p>
    <w:p w14:paraId="4D0CE69B"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47187F35">
          <v:rect id="_x0000_i1032" alt="" style="width:468pt;height:.05pt;mso-width-percent:0;mso-height-percent:0;mso-width-percent:0;mso-height-percent:0" o:hralign="center" o:hrstd="t" o:hr="t" fillcolor="#a0a0a0" stroked="f"/>
        </w:pict>
      </w:r>
    </w:p>
    <w:p w14:paraId="02F7B2DC"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4. How to Report a Concern</w:t>
      </w:r>
    </w:p>
    <w:p w14:paraId="739560A2"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Concerns may be reported to:</w:t>
      </w:r>
    </w:p>
    <w:p w14:paraId="44A92854" w14:textId="77777777" w:rsidR="003069DB" w:rsidRPr="003069DB" w:rsidRDefault="003069DB" w:rsidP="003069D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b/>
          <w:bCs/>
          <w:kern w:val="0"/>
          <w14:ligatures w14:val="none"/>
        </w:rPr>
        <w:t>Board Chair:</w:t>
      </w:r>
      <w:r w:rsidRPr="003069DB">
        <w:rPr>
          <w:rFonts w:ascii="Times New Roman" w:eastAsia="Times New Roman" w:hAnsi="Times New Roman" w:cs="Times New Roman"/>
          <w:kern w:val="0"/>
          <w14:ligatures w14:val="none"/>
        </w:rPr>
        <w:t xml:space="preserve"> [Name / Email]</w:t>
      </w:r>
    </w:p>
    <w:p w14:paraId="287D0A7D" w14:textId="77777777" w:rsidR="003069DB" w:rsidRPr="003069DB" w:rsidRDefault="003069DB" w:rsidP="003069D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b/>
          <w:bCs/>
          <w:kern w:val="0"/>
          <w14:ligatures w14:val="none"/>
        </w:rPr>
        <w:t>Executive Director:</w:t>
      </w:r>
      <w:r w:rsidRPr="003069DB">
        <w:rPr>
          <w:rFonts w:ascii="Times New Roman" w:eastAsia="Times New Roman" w:hAnsi="Times New Roman" w:cs="Times New Roman"/>
          <w:kern w:val="0"/>
          <w14:ligatures w14:val="none"/>
        </w:rPr>
        <w:t xml:space="preserve"> [Name / Email] </w:t>
      </w:r>
      <w:r w:rsidRPr="003069DB">
        <w:rPr>
          <w:rFonts w:ascii="Times New Roman" w:eastAsia="Times New Roman" w:hAnsi="Times New Roman" w:cs="Times New Roman"/>
          <w:i/>
          <w:iCs/>
          <w:kern w:val="0"/>
          <w14:ligatures w14:val="none"/>
        </w:rPr>
        <w:t>(if not implicated in the concern)</w:t>
      </w:r>
    </w:p>
    <w:p w14:paraId="60082D6F"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If the concern involves the Executive Director or Board Chair, it should be reported directly to the full Board of Directors or its designated committee.</w:t>
      </w:r>
    </w:p>
    <w:p w14:paraId="34C3D4DD"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Reports may be made verbally or in writing. The Organization encourages written reports to ensure accuracy and to create a clear record.</w:t>
      </w:r>
    </w:p>
    <w:p w14:paraId="57C9FE72"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b/>
          <w:bCs/>
          <w:kern w:val="0"/>
          <w14:ligatures w14:val="none"/>
        </w:rPr>
        <w:t>Anonymous reporting:</w:t>
      </w:r>
      <w:r w:rsidRPr="003069DB">
        <w:rPr>
          <w:rFonts w:ascii="Times New Roman" w:eastAsia="Times New Roman" w:hAnsi="Times New Roman" w:cs="Times New Roman"/>
          <w:kern w:val="0"/>
          <w14:ligatures w14:val="none"/>
        </w:rPr>
        <w:t xml:space="preserve"> Covered persons may report concerns anonymously. Anonymous reports will be taken seriously and investigated to the extent reasonably possible given the information provided.</w:t>
      </w:r>
    </w:p>
    <w:p w14:paraId="7B334549"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0FD1A43E">
          <v:rect id="_x0000_i1031" alt="" style="width:468pt;height:.05pt;mso-width-percent:0;mso-height-percent:0;mso-width-percent:0;mso-height-percent:0" o:hralign="center" o:hrstd="t" o:hr="t" fillcolor="#a0a0a0" stroked="f"/>
        </w:pict>
      </w:r>
    </w:p>
    <w:p w14:paraId="78F5F49B"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5. Protection from Retaliation</w:t>
      </w:r>
    </w:p>
    <w:p w14:paraId="0EB5DE84"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The Organization strictly prohibits retaliation against any covered person who, in good faith:</w:t>
      </w:r>
    </w:p>
    <w:p w14:paraId="72261955" w14:textId="77777777" w:rsidR="003069DB" w:rsidRPr="003069DB" w:rsidRDefault="003069DB" w:rsidP="003069D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Reports a concern under this policy</w:t>
      </w:r>
    </w:p>
    <w:p w14:paraId="3AA6D89A" w14:textId="77777777" w:rsidR="003069DB" w:rsidRPr="003069DB" w:rsidRDefault="003069DB" w:rsidP="003069D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Participates in an investigation related to a reported concern</w:t>
      </w:r>
    </w:p>
    <w:p w14:paraId="2DD0560D" w14:textId="77777777" w:rsidR="003069DB" w:rsidRPr="003069DB" w:rsidRDefault="003069DB" w:rsidP="003069D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Refuses to participate in activity they reasonably believe to be illegal or unethical</w:t>
      </w:r>
    </w:p>
    <w:p w14:paraId="2C81FCDA"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Prohibited retaliation includes termination, demotion, suspension, harassment, or any other adverse action taken because of a protected report.</w:t>
      </w:r>
    </w:p>
    <w:p w14:paraId="11CDFFA7"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Any covered person who retaliates against a whistleblower is subject to disciplinary action, up to and including removal from their role.</w:t>
      </w:r>
    </w:p>
    <w:p w14:paraId="26D575F2"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b/>
          <w:bCs/>
          <w:kern w:val="0"/>
          <w14:ligatures w14:val="none"/>
        </w:rPr>
        <w:lastRenderedPageBreak/>
        <w:t>Federal law note:</w:t>
      </w:r>
      <w:r w:rsidRPr="003069DB">
        <w:rPr>
          <w:rFonts w:ascii="Times New Roman" w:eastAsia="Times New Roman" w:hAnsi="Times New Roman" w:cs="Times New Roman"/>
          <w:kern w:val="0"/>
          <w14:ligatures w14:val="none"/>
        </w:rPr>
        <w:t xml:space="preserve"> The Sarbanes-Oxley Act (Section 1107) makes it a federal crime to retaliate against anyone who provides truthful information about a possible federal offense to a law enforcement officer. Violations may result in fines or imprisonment.</w:t>
      </w:r>
    </w:p>
    <w:p w14:paraId="661A9B4E"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0FA2E861">
          <v:rect id="_x0000_i1030" alt="" style="width:468pt;height:.05pt;mso-width-percent:0;mso-height-percent:0;mso-width-percent:0;mso-height-percent:0" o:hralign="center" o:hrstd="t" o:hr="t" fillcolor="#a0a0a0" stroked="f"/>
        </w:pict>
      </w:r>
    </w:p>
    <w:p w14:paraId="25C4E9BC"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6. Investigation Procedure</w:t>
      </w:r>
    </w:p>
    <w:p w14:paraId="0E47A871"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All reports will be:</w:t>
      </w:r>
    </w:p>
    <w:p w14:paraId="6E15B40A" w14:textId="77777777" w:rsidR="003069DB" w:rsidRPr="003069DB" w:rsidRDefault="003069DB" w:rsidP="003069D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Acknowledged promptly (within 5 business days where possible)</w:t>
      </w:r>
    </w:p>
    <w:p w14:paraId="51A8DE4A" w14:textId="77777777" w:rsidR="003069DB" w:rsidRPr="003069DB" w:rsidRDefault="003069DB" w:rsidP="003069D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Reviewed by the Board Chair, Executive Director, or a designated board committee — excluding any individual implicated in the report</w:t>
      </w:r>
    </w:p>
    <w:p w14:paraId="5664A40F" w14:textId="77777777" w:rsidR="003069DB" w:rsidRPr="003069DB" w:rsidRDefault="003069DB" w:rsidP="003069D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Investigated in a timely, thorough, and confidential manner</w:t>
      </w:r>
    </w:p>
    <w:p w14:paraId="6DF6B1DB" w14:textId="77777777" w:rsidR="003069DB" w:rsidRPr="003069DB" w:rsidRDefault="003069DB" w:rsidP="003069D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Documented, with findings recorded and retained</w:t>
      </w:r>
    </w:p>
    <w:p w14:paraId="2C1219AB"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The Organization will take appropriate corrective action if a violation is confirmed, which may include disciplinary action, referral to law enforcement, or other remedies.</w:t>
      </w:r>
    </w:p>
    <w:p w14:paraId="4D6F7961"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69615AAD">
          <v:rect id="_x0000_i1029" alt="" style="width:468pt;height:.05pt;mso-width-percent:0;mso-height-percent:0;mso-width-percent:0;mso-height-percent:0" o:hralign="center" o:hrstd="t" o:hr="t" fillcolor="#a0a0a0" stroked="f"/>
        </w:pict>
      </w:r>
    </w:p>
    <w:p w14:paraId="48906A49"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7. Confidentiality</w:t>
      </w:r>
    </w:p>
    <w:p w14:paraId="674A4982"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The Organization will make reasonable efforts to protect the confidentiality of anyone who reports a concern. Complete anonymity cannot always be guaranteed — particularly if a matter requires legal proceedings — but the Organization will limit disclosure of the reporter's identity to those with a genuine need to know.</w:t>
      </w:r>
    </w:p>
    <w:p w14:paraId="27F2FC03"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0BDD11F3">
          <v:rect id="_x0000_i1028" alt="" style="width:468pt;height:.05pt;mso-width-percent:0;mso-height-percent:0;mso-width-percent:0;mso-height-percent:0" o:hralign="center" o:hrstd="t" o:hr="t" fillcolor="#a0a0a0" stroked="f"/>
        </w:pict>
      </w:r>
    </w:p>
    <w:p w14:paraId="2FBAB544"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8. Good Faith Requirement</w:t>
      </w:r>
    </w:p>
    <w:p w14:paraId="28C8B1B2"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This policy protects individuals who report concerns honestly and in good faith, even if the reported concern turns out to be unfounded. It does not protect individuals who make reports they know to be false, or who use this policy to harass others.</w:t>
      </w:r>
    </w:p>
    <w:p w14:paraId="3655B1C9"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1FB30C18">
          <v:rect id="_x0000_i1027" alt="" style="width:468pt;height:.05pt;mso-width-percent:0;mso-height-percent:0;mso-width-percent:0;mso-height-percent:0" o:hralign="center" o:hrstd="t" o:hr="t" fillcolor="#a0a0a0" stroked="f"/>
        </w:pict>
      </w:r>
    </w:p>
    <w:p w14:paraId="109247BC"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9. Annual Review</w:t>
      </w:r>
    </w:p>
    <w:p w14:paraId="56D6B75C"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This policy will be reviewed by the Board at least once per year and updated as needed to reflect changes in law or organizational practice.</w:t>
      </w:r>
    </w:p>
    <w:p w14:paraId="064529E1"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6AAD18BF">
          <v:rect id="_x0000_i1026" alt="" style="width:468pt;height:.05pt;mso-width-percent:0;mso-height-percent:0;mso-width-percent:0;mso-height-percent:0" o:hralign="center" o:hrstd="t" o:hr="t" fillcolor="#a0a0a0" stroked="f"/>
        </w:pict>
      </w:r>
    </w:p>
    <w:p w14:paraId="26644DF8"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i/>
          <w:iCs/>
          <w:kern w:val="0"/>
          <w14:ligatures w14:val="none"/>
        </w:rPr>
        <w:lastRenderedPageBreak/>
        <w:t>Disclaimer: This template is provided for informational purposes only and does not constitute legal advice. Whistleblower protections vary by state, and some states impose additional requirements beyond federal law. Consult a nonprofit attorney to ensure this policy meets the requirements of your state and organization.</w:t>
      </w:r>
    </w:p>
    <w:p w14:paraId="710FE388" w14:textId="77777777" w:rsidR="003069DB" w:rsidRPr="003069DB" w:rsidRDefault="006E3063" w:rsidP="003069DB">
      <w:pPr>
        <w:spacing w:after="0" w:line="240" w:lineRule="auto"/>
        <w:rPr>
          <w:rFonts w:ascii="Times New Roman" w:eastAsia="Times New Roman" w:hAnsi="Times New Roman" w:cs="Times New Roman"/>
          <w:kern w:val="0"/>
          <w14:ligatures w14:val="none"/>
        </w:rPr>
      </w:pPr>
      <w:r w:rsidRPr="006E3063">
        <w:rPr>
          <w:rFonts w:ascii="Times New Roman" w:eastAsia="Times New Roman" w:hAnsi="Times New Roman" w:cs="Times New Roman"/>
          <w:noProof/>
          <w:kern w:val="0"/>
        </w:rPr>
        <w:pict w14:anchorId="0F818ADE">
          <v:rect id="_x0000_i1025" alt="" style="width:468pt;height:.05pt;mso-width-percent:0;mso-height-percent:0;mso-width-percent:0;mso-height-percent:0" o:hralign="center" o:hrstd="t" o:hr="t" fillcolor="#a0a0a0" stroked="f"/>
        </w:pict>
      </w:r>
    </w:p>
    <w:p w14:paraId="0998BA57" w14:textId="77777777" w:rsidR="003069DB" w:rsidRPr="003069DB" w:rsidRDefault="003069DB" w:rsidP="003069D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69DB">
        <w:rPr>
          <w:rFonts w:ascii="Times New Roman" w:eastAsia="Times New Roman" w:hAnsi="Times New Roman" w:cs="Times New Roman"/>
          <w:b/>
          <w:bCs/>
          <w:kern w:val="0"/>
          <w:sz w:val="36"/>
          <w:szCs w:val="36"/>
          <w14:ligatures w14:val="none"/>
        </w:rPr>
        <w:t>Acknowledgment</w:t>
      </w:r>
    </w:p>
    <w:p w14:paraId="43315EAB" w14:textId="77777777" w:rsidR="003069DB" w:rsidRPr="003069DB" w:rsidRDefault="003069DB" w:rsidP="003069DB">
      <w:pPr>
        <w:spacing w:before="100" w:beforeAutospacing="1" w:after="100" w:afterAutospacing="1"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I have received, read, and understand the Whistleblower Protection Policy of [Organization Name]. I agree to comply with this policy and understand that retaliation against anyone who reports a concern in good faith is strictly prohibited.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2"/>
        <w:gridCol w:w="3315"/>
      </w:tblGrid>
      <w:tr w:rsidR="003069DB" w:rsidRPr="003069DB" w14:paraId="043C5931" w14:textId="77777777">
        <w:trPr>
          <w:tblHeader/>
          <w:tblCellSpacing w:w="15" w:type="dxa"/>
        </w:trPr>
        <w:tc>
          <w:tcPr>
            <w:tcW w:w="0" w:type="auto"/>
            <w:vAlign w:val="center"/>
            <w:hideMark/>
          </w:tcPr>
          <w:p w14:paraId="58098F66"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p>
        </w:tc>
        <w:tc>
          <w:tcPr>
            <w:tcW w:w="0" w:type="auto"/>
            <w:vAlign w:val="center"/>
            <w:hideMark/>
          </w:tcPr>
          <w:p w14:paraId="01CF2EA0" w14:textId="77777777" w:rsidR="003069DB" w:rsidRPr="003069DB" w:rsidRDefault="003069DB" w:rsidP="003069DB">
            <w:pPr>
              <w:spacing w:after="0" w:line="240" w:lineRule="auto"/>
              <w:jc w:val="center"/>
              <w:rPr>
                <w:rFonts w:ascii="Times New Roman" w:eastAsia="Times New Roman" w:hAnsi="Times New Roman" w:cs="Times New Roman"/>
                <w:kern w:val="0"/>
                <w:sz w:val="20"/>
                <w:szCs w:val="20"/>
                <w14:ligatures w14:val="none"/>
              </w:rPr>
            </w:pPr>
          </w:p>
        </w:tc>
      </w:tr>
      <w:tr w:rsidR="003069DB" w:rsidRPr="003069DB" w14:paraId="221C3BBC" w14:textId="77777777">
        <w:trPr>
          <w:tblCellSpacing w:w="15" w:type="dxa"/>
        </w:trPr>
        <w:tc>
          <w:tcPr>
            <w:tcW w:w="0" w:type="auto"/>
            <w:vAlign w:val="center"/>
            <w:hideMark/>
          </w:tcPr>
          <w:p w14:paraId="1A364E99"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Printed Name</w:t>
            </w:r>
          </w:p>
        </w:tc>
        <w:tc>
          <w:tcPr>
            <w:tcW w:w="0" w:type="auto"/>
            <w:vAlign w:val="center"/>
            <w:hideMark/>
          </w:tcPr>
          <w:p w14:paraId="30720AFC"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___________________________</w:t>
            </w:r>
          </w:p>
        </w:tc>
      </w:tr>
      <w:tr w:rsidR="003069DB" w:rsidRPr="003069DB" w14:paraId="0FA22520" w14:textId="77777777">
        <w:trPr>
          <w:tblCellSpacing w:w="15" w:type="dxa"/>
        </w:trPr>
        <w:tc>
          <w:tcPr>
            <w:tcW w:w="0" w:type="auto"/>
            <w:vAlign w:val="center"/>
            <w:hideMark/>
          </w:tcPr>
          <w:p w14:paraId="302C68F6"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Signature</w:t>
            </w:r>
          </w:p>
        </w:tc>
        <w:tc>
          <w:tcPr>
            <w:tcW w:w="0" w:type="auto"/>
            <w:vAlign w:val="center"/>
            <w:hideMark/>
          </w:tcPr>
          <w:p w14:paraId="32C37667"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___________________________</w:t>
            </w:r>
          </w:p>
        </w:tc>
      </w:tr>
      <w:tr w:rsidR="003069DB" w:rsidRPr="003069DB" w14:paraId="286AA226" w14:textId="77777777">
        <w:trPr>
          <w:tblCellSpacing w:w="15" w:type="dxa"/>
        </w:trPr>
        <w:tc>
          <w:tcPr>
            <w:tcW w:w="0" w:type="auto"/>
            <w:vAlign w:val="center"/>
            <w:hideMark/>
          </w:tcPr>
          <w:p w14:paraId="5A76F455"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Role / Title</w:t>
            </w:r>
          </w:p>
        </w:tc>
        <w:tc>
          <w:tcPr>
            <w:tcW w:w="0" w:type="auto"/>
            <w:vAlign w:val="center"/>
            <w:hideMark/>
          </w:tcPr>
          <w:p w14:paraId="20884FD0" w14:textId="77777777" w:rsidR="003069DB" w:rsidRPr="003069DB" w:rsidRDefault="003069DB" w:rsidP="003069DB">
            <w:pPr>
              <w:spacing w:after="0" w:line="240" w:lineRule="auto"/>
              <w:rPr>
                <w:rFonts w:ascii="Times New Roman" w:eastAsia="Times New Roman" w:hAnsi="Times New Roman" w:cs="Times New Roman"/>
                <w:kern w:val="0"/>
                <w14:ligatures w14:val="none"/>
              </w:rPr>
            </w:pPr>
            <w:r w:rsidRPr="003069DB">
              <w:rPr>
                <w:rFonts w:ascii="Times New Roman" w:eastAsia="Times New Roman" w:hAnsi="Times New Roman" w:cs="Times New Roman"/>
                <w:kern w:val="0"/>
                <w14:ligatures w14:val="none"/>
              </w:rPr>
              <w:t>___________________________</w:t>
            </w:r>
          </w:p>
        </w:tc>
      </w:tr>
    </w:tbl>
    <w:p w14:paraId="088BF020" w14:textId="77777777" w:rsidR="007F2007" w:rsidRPr="003069DB" w:rsidRDefault="007F2007" w:rsidP="003069DB">
      <w:pPr>
        <w:spacing w:before="100" w:beforeAutospacing="1" w:after="100" w:afterAutospacing="1" w:line="240" w:lineRule="auto"/>
        <w:jc w:val="center"/>
        <w:rPr>
          <w:rFonts w:ascii="Times New Roman" w:hAnsi="Times New Roman" w:cs="Times New Roman"/>
        </w:rPr>
      </w:pPr>
    </w:p>
    <w:sectPr w:rsidR="007F2007" w:rsidRPr="003069DB"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0B1D5" w14:textId="77777777" w:rsidR="006E3063" w:rsidRDefault="006E3063" w:rsidP="000A3451">
      <w:pPr>
        <w:spacing w:after="0" w:line="240" w:lineRule="auto"/>
      </w:pPr>
      <w:r>
        <w:separator/>
      </w:r>
    </w:p>
  </w:endnote>
  <w:endnote w:type="continuationSeparator" w:id="0">
    <w:p w14:paraId="6396A915" w14:textId="77777777" w:rsidR="006E3063" w:rsidRDefault="006E3063"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2B996" w14:textId="77777777" w:rsidR="006E3063" w:rsidRDefault="006E3063" w:rsidP="000A3451">
      <w:pPr>
        <w:spacing w:after="0" w:line="240" w:lineRule="auto"/>
      </w:pPr>
      <w:r>
        <w:separator/>
      </w:r>
    </w:p>
  </w:footnote>
  <w:footnote w:type="continuationSeparator" w:id="0">
    <w:p w14:paraId="2380C470" w14:textId="77777777" w:rsidR="006E3063" w:rsidRDefault="006E3063"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4"/>
  </w:num>
  <w:num w:numId="2" w16cid:durableId="1030060862">
    <w:abstractNumId w:val="22"/>
  </w:num>
  <w:num w:numId="3" w16cid:durableId="1581133848">
    <w:abstractNumId w:val="19"/>
  </w:num>
  <w:num w:numId="4" w16cid:durableId="1124957012">
    <w:abstractNumId w:val="14"/>
  </w:num>
  <w:num w:numId="5" w16cid:durableId="753018378">
    <w:abstractNumId w:val="8"/>
  </w:num>
  <w:num w:numId="6" w16cid:durableId="1074014268">
    <w:abstractNumId w:val="1"/>
  </w:num>
  <w:num w:numId="7" w16cid:durableId="127668455">
    <w:abstractNumId w:val="11"/>
  </w:num>
  <w:num w:numId="8" w16cid:durableId="343094382">
    <w:abstractNumId w:val="5"/>
  </w:num>
  <w:num w:numId="9" w16cid:durableId="102924188">
    <w:abstractNumId w:val="6"/>
  </w:num>
  <w:num w:numId="10" w16cid:durableId="2117552163">
    <w:abstractNumId w:val="17"/>
  </w:num>
  <w:num w:numId="11" w16cid:durableId="1641615050">
    <w:abstractNumId w:val="7"/>
  </w:num>
  <w:num w:numId="12" w16cid:durableId="1608200682">
    <w:abstractNumId w:val="0"/>
  </w:num>
  <w:num w:numId="13" w16cid:durableId="1724789764">
    <w:abstractNumId w:val="9"/>
  </w:num>
  <w:num w:numId="14" w16cid:durableId="1230577414">
    <w:abstractNumId w:val="15"/>
  </w:num>
  <w:num w:numId="15" w16cid:durableId="1569462693">
    <w:abstractNumId w:val="18"/>
  </w:num>
  <w:num w:numId="16" w16cid:durableId="1040786963">
    <w:abstractNumId w:val="3"/>
  </w:num>
  <w:num w:numId="17" w16cid:durableId="1071778268">
    <w:abstractNumId w:val="21"/>
  </w:num>
  <w:num w:numId="18" w16cid:durableId="978994611">
    <w:abstractNumId w:val="16"/>
  </w:num>
  <w:num w:numId="19" w16cid:durableId="219366776">
    <w:abstractNumId w:val="2"/>
  </w:num>
  <w:num w:numId="20" w16cid:durableId="771366364">
    <w:abstractNumId w:val="13"/>
  </w:num>
  <w:num w:numId="21" w16cid:durableId="770854519">
    <w:abstractNumId w:val="12"/>
  </w:num>
  <w:num w:numId="22" w16cid:durableId="649597643">
    <w:abstractNumId w:val="20"/>
  </w:num>
  <w:num w:numId="23" w16cid:durableId="117184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60695"/>
    <w:rsid w:val="003069DB"/>
    <w:rsid w:val="00331539"/>
    <w:rsid w:val="003C466C"/>
    <w:rsid w:val="00457500"/>
    <w:rsid w:val="00490CD1"/>
    <w:rsid w:val="0057446E"/>
    <w:rsid w:val="00587DB2"/>
    <w:rsid w:val="00641AD1"/>
    <w:rsid w:val="006E3063"/>
    <w:rsid w:val="00767238"/>
    <w:rsid w:val="007716E0"/>
    <w:rsid w:val="007F2007"/>
    <w:rsid w:val="00955F66"/>
    <w:rsid w:val="0098173F"/>
    <w:rsid w:val="009873B9"/>
    <w:rsid w:val="009C5993"/>
    <w:rsid w:val="00A47DD4"/>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McKenzie</dc:creator>
  <cp:keywords/>
  <dc:description/>
  <cp:lastModifiedBy>Roy McKenzie</cp:lastModifiedBy>
  <cp:revision>3</cp:revision>
  <dcterms:created xsi:type="dcterms:W3CDTF">2026-03-05T20:41:00Z</dcterms:created>
  <dcterms:modified xsi:type="dcterms:W3CDTF">2026-03-05T20:42:00Z</dcterms:modified>
</cp:coreProperties>
</file>